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9A" w:rsidRDefault="00192E9A" w:rsidP="00192E9A">
      <w:pPr>
        <w:spacing w:line="600" w:lineRule="exact"/>
        <w:ind w:leftChars="-257" w:left="-565" w:firstLineChars="200" w:firstLine="640"/>
        <w:rPr>
          <w:rFonts w:ascii="方正小标宋_GBK" w:eastAsia="方正小标宋_GBK" w:hAnsi="FangSong" w:hint="eastAsia"/>
          <w:sz w:val="32"/>
          <w:szCs w:val="32"/>
        </w:rPr>
      </w:pPr>
      <w:r w:rsidRPr="002A5076">
        <w:rPr>
          <w:rFonts w:ascii="方正小标宋_GBK" w:eastAsia="方正小标宋_GBK" w:hAnsi="FangSong" w:hint="eastAsia"/>
          <w:sz w:val="32"/>
          <w:szCs w:val="32"/>
        </w:rPr>
        <w:t>附件1</w:t>
      </w:r>
    </w:p>
    <w:p w:rsidR="00192E9A" w:rsidRPr="002A5076" w:rsidRDefault="00192E9A" w:rsidP="00192E9A">
      <w:pPr>
        <w:spacing w:line="600" w:lineRule="exact"/>
        <w:ind w:leftChars="-257" w:left="-565" w:firstLineChars="200" w:firstLine="640"/>
        <w:jc w:val="center"/>
        <w:rPr>
          <w:rFonts w:ascii="方正小标宋_GBK" w:eastAsia="方正小标宋_GBK" w:hAnsi="FangSong" w:hint="eastAsia"/>
          <w:sz w:val="32"/>
          <w:szCs w:val="32"/>
        </w:rPr>
      </w:pPr>
      <w:r w:rsidRPr="002A5076">
        <w:rPr>
          <w:rFonts w:ascii="方正小标宋_GBK" w:eastAsia="方正小标宋_GBK" w:hAnsi="FangSong" w:hint="eastAsia"/>
          <w:sz w:val="32"/>
          <w:szCs w:val="32"/>
        </w:rPr>
        <w:t>南通市规划编制研究中心2017年下半年公开招聘工作人员岗位简介表</w:t>
      </w:r>
    </w:p>
    <w:p w:rsidR="00192E9A" w:rsidRPr="002A5076" w:rsidRDefault="00192E9A" w:rsidP="00192E9A">
      <w:pPr>
        <w:suppressAutoHyphens/>
        <w:kinsoku w:val="0"/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4679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2739"/>
        <w:gridCol w:w="2400"/>
        <w:gridCol w:w="1477"/>
        <w:gridCol w:w="3201"/>
        <w:gridCol w:w="1276"/>
        <w:gridCol w:w="1979"/>
      </w:tblGrid>
      <w:tr w:rsidR="00192E9A" w:rsidRPr="002A5076" w:rsidTr="00580BD1">
        <w:trPr>
          <w:jc w:val="center"/>
        </w:trPr>
        <w:tc>
          <w:tcPr>
            <w:tcW w:w="1607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b/>
                <w:szCs w:val="21"/>
              </w:rPr>
            </w:pPr>
            <w:r w:rsidRPr="002A5076">
              <w:rPr>
                <w:rFonts w:ascii="仿宋_GB2312" w:eastAsia="仿宋_GB2312" w:hAnsi="Verdana" w:hint="eastAsia"/>
                <w:b/>
                <w:szCs w:val="21"/>
              </w:rPr>
              <w:t>主管部门</w:t>
            </w:r>
          </w:p>
        </w:tc>
        <w:tc>
          <w:tcPr>
            <w:tcW w:w="2739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b/>
                <w:szCs w:val="21"/>
              </w:rPr>
            </w:pPr>
            <w:r w:rsidRPr="002A5076">
              <w:rPr>
                <w:rFonts w:ascii="仿宋_GB2312" w:eastAsia="仿宋_GB2312" w:hAnsi="Verdana" w:hint="eastAsia"/>
                <w:b/>
                <w:szCs w:val="21"/>
              </w:rPr>
              <w:t>招聘单位</w:t>
            </w:r>
          </w:p>
        </w:tc>
        <w:tc>
          <w:tcPr>
            <w:tcW w:w="2400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b/>
                <w:szCs w:val="21"/>
              </w:rPr>
            </w:pPr>
            <w:r w:rsidRPr="002A5076">
              <w:rPr>
                <w:rFonts w:ascii="仿宋_GB2312" w:eastAsia="仿宋_GB2312" w:hAnsi="Verdana" w:hint="eastAsia"/>
                <w:b/>
                <w:szCs w:val="21"/>
              </w:rPr>
              <w:t>岗位名称</w:t>
            </w:r>
          </w:p>
        </w:tc>
        <w:tc>
          <w:tcPr>
            <w:tcW w:w="1477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b/>
                <w:szCs w:val="21"/>
              </w:rPr>
            </w:pPr>
            <w:r w:rsidRPr="002A5076">
              <w:rPr>
                <w:rFonts w:ascii="仿宋_GB2312" w:eastAsia="仿宋_GB2312" w:hAnsi="Verdana" w:hint="eastAsia"/>
                <w:b/>
                <w:szCs w:val="21"/>
              </w:rPr>
              <w:t>学历</w:t>
            </w:r>
          </w:p>
        </w:tc>
        <w:tc>
          <w:tcPr>
            <w:tcW w:w="3201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b/>
                <w:szCs w:val="21"/>
              </w:rPr>
            </w:pPr>
            <w:r w:rsidRPr="002A5076">
              <w:rPr>
                <w:rFonts w:ascii="仿宋_GB2312" w:eastAsia="仿宋_GB2312" w:hAnsi="Verdana" w:hint="eastAsia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b/>
                <w:szCs w:val="21"/>
              </w:rPr>
            </w:pPr>
            <w:r w:rsidRPr="002A5076">
              <w:rPr>
                <w:rFonts w:ascii="仿宋_GB2312" w:eastAsia="仿宋_GB2312" w:hAnsi="Verdana" w:hint="eastAsia"/>
                <w:b/>
                <w:szCs w:val="21"/>
              </w:rPr>
              <w:t>招聘人数</w:t>
            </w:r>
          </w:p>
        </w:tc>
        <w:tc>
          <w:tcPr>
            <w:tcW w:w="1979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b/>
                <w:szCs w:val="21"/>
              </w:rPr>
            </w:pPr>
            <w:r w:rsidRPr="002A5076">
              <w:rPr>
                <w:rFonts w:ascii="仿宋_GB2312" w:eastAsia="仿宋_GB2312" w:hAnsi="Verdana" w:hint="eastAsia"/>
                <w:b/>
                <w:szCs w:val="21"/>
              </w:rPr>
              <w:t>其它要求</w:t>
            </w:r>
          </w:p>
        </w:tc>
      </w:tr>
      <w:tr w:rsidR="00192E9A" w:rsidRPr="002A5076" w:rsidTr="00580BD1">
        <w:trPr>
          <w:trHeight w:val="1788"/>
          <w:jc w:val="center"/>
        </w:trPr>
        <w:tc>
          <w:tcPr>
            <w:tcW w:w="1607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szCs w:val="21"/>
              </w:rPr>
            </w:pPr>
            <w:r w:rsidRPr="002A5076">
              <w:rPr>
                <w:rFonts w:ascii="仿宋_GB2312" w:eastAsia="仿宋_GB2312" w:hAnsi="Verdana" w:hint="eastAsia"/>
                <w:szCs w:val="21"/>
              </w:rPr>
              <w:t>南通市规划局</w:t>
            </w:r>
          </w:p>
        </w:tc>
        <w:tc>
          <w:tcPr>
            <w:tcW w:w="2739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2A5076">
              <w:rPr>
                <w:rFonts w:ascii="仿宋_GB2312" w:eastAsia="仿宋_GB2312" w:hAnsi="Verdana" w:hint="eastAsia"/>
                <w:szCs w:val="21"/>
              </w:rPr>
              <w:t>南通市规划编制研究中心</w:t>
            </w:r>
          </w:p>
        </w:tc>
        <w:tc>
          <w:tcPr>
            <w:tcW w:w="2400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szCs w:val="21"/>
              </w:rPr>
            </w:pPr>
            <w:r w:rsidRPr="002A5076">
              <w:rPr>
                <w:rFonts w:ascii="仿宋_GB2312" w:eastAsia="仿宋_GB2312" w:hAnsi="Verdana" w:hint="eastAsia"/>
                <w:szCs w:val="21"/>
              </w:rPr>
              <w:t>助理</w:t>
            </w:r>
            <w:r>
              <w:rPr>
                <w:rFonts w:ascii="仿宋_GB2312" w:eastAsia="仿宋_GB2312" w:hAnsi="Verdana" w:hint="eastAsia"/>
                <w:szCs w:val="21"/>
              </w:rPr>
              <w:t>工程</w:t>
            </w:r>
            <w:r w:rsidRPr="002A5076">
              <w:rPr>
                <w:rFonts w:ascii="仿宋_GB2312" w:eastAsia="仿宋_GB2312" w:hAnsi="Verdana" w:hint="eastAsia"/>
                <w:szCs w:val="21"/>
              </w:rPr>
              <w:t>师</w:t>
            </w:r>
          </w:p>
        </w:tc>
        <w:tc>
          <w:tcPr>
            <w:tcW w:w="1477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szCs w:val="21"/>
              </w:rPr>
            </w:pPr>
            <w:r w:rsidRPr="002A5076">
              <w:rPr>
                <w:rFonts w:ascii="仿宋_GB2312" w:eastAsia="仿宋_GB2312" w:hAnsi="Verdana" w:hint="eastAsia"/>
                <w:szCs w:val="21"/>
              </w:rPr>
              <w:t>研究生</w:t>
            </w:r>
          </w:p>
        </w:tc>
        <w:tc>
          <w:tcPr>
            <w:tcW w:w="3201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rPr>
                <w:rFonts w:ascii="仿宋_GB2312" w:eastAsia="仿宋_GB2312" w:hAnsi="Verdana" w:hint="eastAsia"/>
                <w:szCs w:val="21"/>
              </w:rPr>
            </w:pPr>
            <w:r w:rsidRPr="002A5076">
              <w:rPr>
                <w:rFonts w:ascii="仿宋_GB2312" w:eastAsia="仿宋_GB2312" w:hAnsi="Verdana" w:hint="eastAsia"/>
                <w:szCs w:val="21"/>
              </w:rPr>
              <w:t>城市规划与设计（含：风景园林规划与设计）、城市规划、城市与区域规划、建筑设计及其理论</w:t>
            </w:r>
          </w:p>
        </w:tc>
        <w:tc>
          <w:tcPr>
            <w:tcW w:w="1276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szCs w:val="21"/>
              </w:rPr>
            </w:pPr>
            <w:r w:rsidRPr="002A5076">
              <w:rPr>
                <w:rFonts w:ascii="仿宋_GB2312" w:eastAsia="仿宋_GB2312" w:hAnsi="Verdana" w:hint="eastAsia"/>
                <w:szCs w:val="21"/>
              </w:rPr>
              <w:t>3</w:t>
            </w:r>
          </w:p>
        </w:tc>
        <w:tc>
          <w:tcPr>
            <w:tcW w:w="1979" w:type="dxa"/>
            <w:vAlign w:val="center"/>
          </w:tcPr>
          <w:p w:rsidR="00192E9A" w:rsidRPr="002A5076" w:rsidRDefault="00192E9A" w:rsidP="00580BD1">
            <w:pPr>
              <w:suppressAutoHyphens/>
              <w:kinsoku w:val="0"/>
              <w:overflowPunct w:val="0"/>
              <w:spacing w:line="560" w:lineRule="exact"/>
              <w:jc w:val="center"/>
              <w:rPr>
                <w:rFonts w:ascii="仿宋_GB2312" w:eastAsia="仿宋_GB2312" w:hAnsi="Verdana" w:hint="eastAsia"/>
                <w:szCs w:val="21"/>
              </w:rPr>
            </w:pPr>
            <w:r w:rsidRPr="002A5076">
              <w:rPr>
                <w:rFonts w:ascii="仿宋_GB2312" w:eastAsia="仿宋_GB2312" w:hAnsi="Verdana" w:hint="eastAsia"/>
                <w:szCs w:val="21"/>
              </w:rPr>
              <w:t>取得相应学位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92E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EE" w:rsidRDefault="004D60EE" w:rsidP="00192E9A">
      <w:pPr>
        <w:spacing w:after="0"/>
      </w:pPr>
      <w:r>
        <w:separator/>
      </w:r>
    </w:p>
  </w:endnote>
  <w:endnote w:type="continuationSeparator" w:id="0">
    <w:p w:rsidR="004D60EE" w:rsidRDefault="004D60EE" w:rsidP="00192E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00"/>
    <w:family w:val="script"/>
    <w:pitch w:val="default"/>
    <w:sig w:usb0="00000000" w:usb1="080E0000" w:usb2="0000001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EE" w:rsidRDefault="004D60EE" w:rsidP="00192E9A">
      <w:pPr>
        <w:spacing w:after="0"/>
      </w:pPr>
      <w:r>
        <w:separator/>
      </w:r>
    </w:p>
  </w:footnote>
  <w:footnote w:type="continuationSeparator" w:id="0">
    <w:p w:rsidR="004D60EE" w:rsidRDefault="004D60EE" w:rsidP="00192E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2E9A"/>
    <w:rsid w:val="00323B43"/>
    <w:rsid w:val="00352252"/>
    <w:rsid w:val="003D37D8"/>
    <w:rsid w:val="00426133"/>
    <w:rsid w:val="004358AB"/>
    <w:rsid w:val="004D60E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E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E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E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E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2017-07-27T09:46:00Z</dcterms:modified>
</cp:coreProperties>
</file>